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1.xml" ContentType="application/vnd.openxmlformats-officedocument.theme+xml"/>
  <Override PartName="/word/charts/colors3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olors1.xml" ContentType="application/vnd.ms-office.chartcolorstyle+xml"/>
  <Override PartName="/word/charts/style1.xml" ContentType="application/vnd.ms-office.chart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style2.xml" ContentType="application/vnd.ms-office.chartstyle+xml"/>
  <Override PartName="/word/theme/themeOverride2.xml" ContentType="application/vnd.openxmlformats-officedocument.themeOverride+xml"/>
  <Override PartName="/word/charts/colors2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46" w:rsidRDefault="004D5046">
      <w:bookmarkStart w:id="0" w:name="_GoBack"/>
      <w:bookmarkEnd w:id="0"/>
    </w:p>
    <w:p w:rsidR="008E1FAE" w:rsidRDefault="008E1FAE"/>
    <w:p w:rsidR="008E1FAE" w:rsidRDefault="00F74184">
      <w:r>
        <w:rPr>
          <w:noProof/>
        </w:rPr>
        <w:drawing>
          <wp:inline distT="0" distB="0" distL="0" distR="0" wp14:anchorId="2AFC6CC3" wp14:editId="6424952F">
            <wp:extent cx="5943600" cy="3505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960"/>
        <w:gridCol w:w="960"/>
        <w:gridCol w:w="960"/>
        <w:gridCol w:w="960"/>
      </w:tblGrid>
      <w:tr w:rsidR="008E1FAE" w:rsidRPr="008E1FAE" w:rsidTr="008E1FAE">
        <w:trPr>
          <w:trHeight w:val="300"/>
        </w:trPr>
        <w:tc>
          <w:tcPr>
            <w:tcW w:w="3460" w:type="dxa"/>
            <w:noWrap/>
            <w:hideMark/>
          </w:tcPr>
          <w:p w:rsidR="008E1FAE" w:rsidRPr="008E1FAE" w:rsidRDefault="008E1FAE">
            <w:r w:rsidRPr="008E1FAE">
              <w:t> 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2013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2014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2015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2016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2017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2018</w:t>
            </w:r>
          </w:p>
        </w:tc>
      </w:tr>
      <w:tr w:rsidR="008E1FAE" w:rsidRPr="008E1FAE" w:rsidTr="008E1FAE">
        <w:trPr>
          <w:trHeight w:val="300"/>
        </w:trPr>
        <w:tc>
          <w:tcPr>
            <w:tcW w:w="3460" w:type="dxa"/>
            <w:noWrap/>
            <w:hideMark/>
          </w:tcPr>
          <w:p w:rsidR="008E1FAE" w:rsidRPr="008E1FAE" w:rsidRDefault="008E1FAE" w:rsidP="00B92B69">
            <w:r w:rsidRPr="008E1FAE">
              <w:t xml:space="preserve">Budgeted Rn </w:t>
            </w:r>
            <w:r w:rsidR="00B92B69">
              <w:t>FTE</w:t>
            </w:r>
            <w:r w:rsidRPr="008E1FAE">
              <w:t xml:space="preserve"> positions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>
              <w:t>18453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>
              <w:t>19552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>
              <w:t>22145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27138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25391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26320</w:t>
            </w:r>
          </w:p>
        </w:tc>
      </w:tr>
      <w:tr w:rsidR="008E1FAE" w:rsidRPr="008E1FAE" w:rsidTr="008E1FAE">
        <w:trPr>
          <w:trHeight w:val="300"/>
        </w:trPr>
        <w:tc>
          <w:tcPr>
            <w:tcW w:w="3460" w:type="dxa"/>
            <w:noWrap/>
            <w:hideMark/>
          </w:tcPr>
          <w:p w:rsidR="008E1FAE" w:rsidRPr="008E1FAE" w:rsidRDefault="008E1FAE" w:rsidP="00B92B69">
            <w:r w:rsidRPr="008E1FAE">
              <w:t xml:space="preserve">Vacant RN </w:t>
            </w:r>
            <w:r w:rsidR="00B92B69">
              <w:t>FTE</w:t>
            </w:r>
            <w:r w:rsidRPr="008E1FAE">
              <w:t xml:space="preserve"> positions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D74F48">
            <w:r w:rsidRPr="008E1FAE">
              <w:t>174</w:t>
            </w:r>
            <w:r w:rsidR="00D74F48">
              <w:t>6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D74F48">
            <w:r w:rsidRPr="008E1FAE">
              <w:t>1507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D74F48" w:rsidP="00D74F48">
            <w:r>
              <w:t>1836</w:t>
            </w:r>
            <w:r w:rsidR="008E1FAE" w:rsidRPr="008E1FAE">
              <w:t>9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1857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2204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2002</w:t>
            </w:r>
          </w:p>
        </w:tc>
      </w:tr>
      <w:tr w:rsidR="008E1FAE" w:rsidRPr="008E1FAE" w:rsidTr="008E1FAE">
        <w:trPr>
          <w:trHeight w:val="300"/>
        </w:trPr>
        <w:tc>
          <w:tcPr>
            <w:tcW w:w="3460" w:type="dxa"/>
            <w:noWrap/>
            <w:hideMark/>
          </w:tcPr>
          <w:p w:rsidR="008E1FAE" w:rsidRPr="008E1FAE" w:rsidRDefault="008E1FAE" w:rsidP="00B92B69">
            <w:r w:rsidRPr="008E1FAE">
              <w:t xml:space="preserve">Percentage Vacant RN </w:t>
            </w:r>
            <w:r w:rsidR="00B92B69">
              <w:t>FTE</w:t>
            </w:r>
            <w:r w:rsidRPr="008E1FAE">
              <w:t xml:space="preserve"> positions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9%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8%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8%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7%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9%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8%</w:t>
            </w:r>
          </w:p>
        </w:tc>
      </w:tr>
      <w:tr w:rsidR="008E1FAE" w:rsidRPr="008E1FAE" w:rsidTr="008E1FAE">
        <w:trPr>
          <w:trHeight w:val="300"/>
        </w:trPr>
        <w:tc>
          <w:tcPr>
            <w:tcW w:w="3460" w:type="dxa"/>
            <w:noWrap/>
            <w:hideMark/>
          </w:tcPr>
          <w:p w:rsidR="008E1FAE" w:rsidRPr="008E1FAE" w:rsidRDefault="008E1FAE">
            <w:r w:rsidRPr="008E1FAE">
              <w:t>Number of Hospitals Reporting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36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37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43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43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45</w:t>
            </w:r>
          </w:p>
        </w:tc>
        <w:tc>
          <w:tcPr>
            <w:tcW w:w="960" w:type="dxa"/>
            <w:noWrap/>
            <w:hideMark/>
          </w:tcPr>
          <w:p w:rsidR="008E1FAE" w:rsidRPr="008E1FAE" w:rsidRDefault="008E1FAE" w:rsidP="008E1FAE">
            <w:r w:rsidRPr="008E1FAE">
              <w:t>45</w:t>
            </w:r>
          </w:p>
        </w:tc>
      </w:tr>
    </w:tbl>
    <w:p w:rsidR="008E1FAE" w:rsidRDefault="008E1FAE"/>
    <w:p w:rsidR="008E1FAE" w:rsidRDefault="008E1FAE"/>
    <w:p w:rsidR="008E1FAE" w:rsidRDefault="008E1FAE"/>
    <w:p w:rsidR="008E1FAE" w:rsidRDefault="00D74F48">
      <w:r>
        <w:rPr>
          <w:noProof/>
        </w:rPr>
        <w:lastRenderedPageBreak/>
        <w:drawing>
          <wp:inline distT="0" distB="0" distL="0" distR="0" wp14:anchorId="32A88512" wp14:editId="7F568702">
            <wp:extent cx="5943600" cy="3397250"/>
            <wp:effectExtent l="0" t="0" r="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837"/>
        <w:gridCol w:w="837"/>
        <w:gridCol w:w="837"/>
        <w:gridCol w:w="837"/>
        <w:gridCol w:w="837"/>
        <w:gridCol w:w="837"/>
      </w:tblGrid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 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2013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2014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2015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2016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2017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2018</w:t>
            </w:r>
          </w:p>
        </w:tc>
      </w:tr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RN in FTE that voluntarily retired, resigned, or expired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1987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1956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2509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2709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2661</w:t>
            </w:r>
          </w:p>
        </w:tc>
        <w:tc>
          <w:tcPr>
            <w:tcW w:w="960" w:type="dxa"/>
            <w:noWrap/>
            <w:hideMark/>
          </w:tcPr>
          <w:p w:rsidR="00F74184" w:rsidRDefault="00F74184" w:rsidP="00F74184"/>
          <w:p w:rsidR="00F74184" w:rsidRPr="00F74184" w:rsidRDefault="00F74184" w:rsidP="00F74184">
            <w:r w:rsidRPr="00F74184">
              <w:t>2818</w:t>
            </w:r>
          </w:p>
        </w:tc>
      </w:tr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RN in FTE involuntarily terminated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722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717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455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400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434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560</w:t>
            </w:r>
          </w:p>
        </w:tc>
      </w:tr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Total turnover voluntary and involuntary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>
              <w:t>2710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>
              <w:t>2674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2964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3110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3095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3378</w:t>
            </w:r>
          </w:p>
        </w:tc>
      </w:tr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Percentage of involuntary terminated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27%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27%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15%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13%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14%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17%</w:t>
            </w:r>
          </w:p>
        </w:tc>
      </w:tr>
      <w:tr w:rsidR="00F74184" w:rsidRPr="00F74184" w:rsidTr="00F74184">
        <w:trPr>
          <w:trHeight w:val="300"/>
        </w:trPr>
        <w:tc>
          <w:tcPr>
            <w:tcW w:w="5140" w:type="dxa"/>
            <w:noWrap/>
            <w:hideMark/>
          </w:tcPr>
          <w:p w:rsidR="00F74184" w:rsidRPr="00F74184" w:rsidRDefault="00F74184">
            <w:r w:rsidRPr="00F74184">
              <w:t>Number of Hospitals Reporting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36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37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47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47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45</w:t>
            </w:r>
          </w:p>
        </w:tc>
        <w:tc>
          <w:tcPr>
            <w:tcW w:w="960" w:type="dxa"/>
            <w:noWrap/>
            <w:hideMark/>
          </w:tcPr>
          <w:p w:rsidR="00F74184" w:rsidRPr="00F74184" w:rsidRDefault="00F74184" w:rsidP="00F74184">
            <w:r w:rsidRPr="00F74184">
              <w:t>45</w:t>
            </w:r>
          </w:p>
        </w:tc>
      </w:tr>
    </w:tbl>
    <w:p w:rsidR="00D74F48" w:rsidRDefault="00D74F48"/>
    <w:p w:rsidR="00D74F48" w:rsidRDefault="00D74F48"/>
    <w:p w:rsidR="00D74F48" w:rsidRDefault="00D74F48"/>
    <w:p w:rsidR="00D74F48" w:rsidRDefault="00D74F48">
      <w:r>
        <w:rPr>
          <w:noProof/>
        </w:rPr>
        <w:lastRenderedPageBreak/>
        <w:drawing>
          <wp:inline distT="0" distB="0" distL="0" distR="0" wp14:anchorId="236F251A" wp14:editId="04E769DC">
            <wp:extent cx="5943600" cy="3248660"/>
            <wp:effectExtent l="0" t="0" r="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854"/>
        <w:gridCol w:w="854"/>
        <w:gridCol w:w="853"/>
        <w:gridCol w:w="853"/>
        <w:gridCol w:w="853"/>
        <w:gridCol w:w="853"/>
      </w:tblGrid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>
            <w:r w:rsidRPr="00D74F48">
              <w:t> 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2013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2014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2015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2016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2018</w:t>
            </w:r>
          </w:p>
        </w:tc>
      </w:tr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>
            <w:r w:rsidRPr="00D74F48">
              <w:t>Number of Agency RN used in FTE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B92B69" w:rsidP="00B92B69">
            <w:r>
              <w:t>1050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153</w:t>
            </w:r>
            <w:r w:rsidR="00B92B69">
              <w:t>4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1003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2709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2661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2818</w:t>
            </w:r>
          </w:p>
        </w:tc>
      </w:tr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 w:rsidP="00B92B69">
            <w:r w:rsidRPr="00D74F48">
              <w:t xml:space="preserve">Budgeted Rn </w:t>
            </w:r>
            <w:r w:rsidR="00B92B69">
              <w:t>FTE</w:t>
            </w:r>
            <w:r w:rsidRPr="00D74F48">
              <w:t xml:space="preserve"> positions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18453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19552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2214</w:t>
            </w:r>
            <w:r w:rsidR="00B92B69">
              <w:t>5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27138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25391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26320</w:t>
            </w:r>
          </w:p>
        </w:tc>
      </w:tr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 w:rsidP="00B92B69">
            <w:r w:rsidRPr="00D74F48">
              <w:t xml:space="preserve">Vacant RN </w:t>
            </w:r>
            <w:r w:rsidR="00B92B69">
              <w:t>FTE</w:t>
            </w:r>
            <w:r w:rsidRPr="00D74F48">
              <w:t xml:space="preserve"> positions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B92B69" w:rsidP="00B92B69">
            <w:r>
              <w:t>1746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1507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B92B69">
            <w:r w:rsidRPr="00D74F48">
              <w:t>183</w:t>
            </w:r>
            <w:r w:rsidR="00B92B69">
              <w:t>6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1857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2204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2002</w:t>
            </w:r>
          </w:p>
        </w:tc>
      </w:tr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>
            <w:r w:rsidRPr="00D74F48">
              <w:t>Percentage of Agency nurses used in FTE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6%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8%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5%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10%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10%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11%</w:t>
            </w:r>
          </w:p>
        </w:tc>
      </w:tr>
      <w:tr w:rsidR="00D74F48" w:rsidRPr="00D74F48" w:rsidTr="00D74F48">
        <w:trPr>
          <w:trHeight w:val="300"/>
        </w:trPr>
        <w:tc>
          <w:tcPr>
            <w:tcW w:w="4900" w:type="dxa"/>
            <w:noWrap/>
            <w:hideMark/>
          </w:tcPr>
          <w:p w:rsidR="00D74F48" w:rsidRPr="00D74F48" w:rsidRDefault="00D74F48">
            <w:r w:rsidRPr="00D74F48">
              <w:t>Number of Hospitals Reporting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37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40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47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47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45</w:t>
            </w:r>
          </w:p>
        </w:tc>
        <w:tc>
          <w:tcPr>
            <w:tcW w:w="960" w:type="dxa"/>
            <w:noWrap/>
            <w:hideMark/>
          </w:tcPr>
          <w:p w:rsidR="00D74F48" w:rsidRPr="00D74F48" w:rsidRDefault="00D74F48" w:rsidP="00D74F48">
            <w:r w:rsidRPr="00D74F48">
              <w:t>45</w:t>
            </w:r>
          </w:p>
        </w:tc>
      </w:tr>
    </w:tbl>
    <w:p w:rsidR="00D74F48" w:rsidRDefault="00D74F48"/>
    <w:p w:rsidR="00A17A50" w:rsidRDefault="00A17A50"/>
    <w:p w:rsidR="00A17A50" w:rsidRDefault="00A17A50">
      <w:r>
        <w:rPr>
          <w:noProof/>
        </w:rPr>
        <w:drawing>
          <wp:inline distT="0" distB="0" distL="0" distR="0" wp14:anchorId="0B4C2370" wp14:editId="7D2E2B50">
            <wp:extent cx="5943600" cy="3255010"/>
            <wp:effectExtent l="0" t="0" r="0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6"/>
        <w:gridCol w:w="884"/>
        <w:gridCol w:w="884"/>
        <w:gridCol w:w="884"/>
        <w:gridCol w:w="884"/>
        <w:gridCol w:w="884"/>
        <w:gridCol w:w="884"/>
      </w:tblGrid>
      <w:tr w:rsidR="00A17A50" w:rsidRPr="00A17A50" w:rsidTr="00A17A50">
        <w:trPr>
          <w:trHeight w:val="300"/>
        </w:trPr>
        <w:tc>
          <w:tcPr>
            <w:tcW w:w="4480" w:type="dxa"/>
            <w:noWrap/>
            <w:hideMark/>
          </w:tcPr>
          <w:p w:rsidR="00A17A50" w:rsidRPr="00A17A50" w:rsidRDefault="00A17A50">
            <w:r w:rsidRPr="00A17A50">
              <w:t> 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2013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2014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2015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2016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2017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2018</w:t>
            </w:r>
          </w:p>
        </w:tc>
      </w:tr>
      <w:tr w:rsidR="00A17A50" w:rsidRPr="00A17A50" w:rsidTr="00A17A50">
        <w:trPr>
          <w:trHeight w:val="300"/>
        </w:trPr>
        <w:tc>
          <w:tcPr>
            <w:tcW w:w="4480" w:type="dxa"/>
            <w:noWrap/>
            <w:hideMark/>
          </w:tcPr>
          <w:p w:rsidR="00A17A50" w:rsidRPr="00A17A50" w:rsidRDefault="00A17A50">
            <w:r w:rsidRPr="00A17A50">
              <w:t>RN tuition assistance for BSN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44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63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47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379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417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631</w:t>
            </w:r>
          </w:p>
        </w:tc>
      </w:tr>
      <w:tr w:rsidR="00A17A50" w:rsidRPr="00A17A50" w:rsidTr="00A17A50">
        <w:trPr>
          <w:trHeight w:val="300"/>
        </w:trPr>
        <w:tc>
          <w:tcPr>
            <w:tcW w:w="4480" w:type="dxa"/>
            <w:noWrap/>
            <w:hideMark/>
          </w:tcPr>
          <w:p w:rsidR="00A17A50" w:rsidRPr="00A17A50" w:rsidRDefault="00A17A50">
            <w:r w:rsidRPr="00A17A50">
              <w:t>Total Budgeted FTE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18453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19552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22145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27138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25391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26320</w:t>
            </w:r>
          </w:p>
        </w:tc>
      </w:tr>
      <w:tr w:rsidR="00A17A50" w:rsidRPr="00A17A50" w:rsidTr="00A17A50">
        <w:trPr>
          <w:trHeight w:val="600"/>
        </w:trPr>
        <w:tc>
          <w:tcPr>
            <w:tcW w:w="4480" w:type="dxa"/>
            <w:hideMark/>
          </w:tcPr>
          <w:p w:rsidR="00A17A50" w:rsidRPr="00A17A50" w:rsidRDefault="00A17A50">
            <w:r w:rsidRPr="00A17A50">
              <w:t xml:space="preserve">Percentage of RN </w:t>
            </w:r>
            <w:r>
              <w:t>receiving</w:t>
            </w:r>
            <w:r w:rsidRPr="00A17A50">
              <w:t xml:space="preserve"> tuition assistance for BSN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0%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0%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0%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1%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2%</w:t>
            </w:r>
          </w:p>
        </w:tc>
        <w:tc>
          <w:tcPr>
            <w:tcW w:w="960" w:type="dxa"/>
            <w:noWrap/>
            <w:hideMark/>
          </w:tcPr>
          <w:p w:rsidR="00A17A50" w:rsidRPr="00A17A50" w:rsidRDefault="00A17A50" w:rsidP="00A17A50">
            <w:r w:rsidRPr="00A17A50">
              <w:t>2%</w:t>
            </w:r>
          </w:p>
        </w:tc>
      </w:tr>
    </w:tbl>
    <w:p w:rsidR="00A17A50" w:rsidRDefault="00A17A50"/>
    <w:sectPr w:rsidR="00A1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AE"/>
    <w:rsid w:val="004A4FD1"/>
    <w:rsid w:val="004D5046"/>
    <w:rsid w:val="008E1FAE"/>
    <w:rsid w:val="0095138A"/>
    <w:rsid w:val="00A17A50"/>
    <w:rsid w:val="00A42993"/>
    <w:rsid w:val="00B92B69"/>
    <w:rsid w:val="00CD38EA"/>
    <w:rsid w:val="00D74F48"/>
    <w:rsid w:val="00F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E75E0-B7C2-4EA0-986D-5862B04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2.xml"/><Relationship Id="rId5" Type="http://schemas.openxmlformats.org/officeDocument/2006/relationships/chart" Target="charts/chart2.xml"/><Relationship Id="rId10" Type="http://schemas.openxmlformats.org/officeDocument/2006/relationships/customXml" Target="../customXml/item1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2013.2016hospital.data.final4.25.201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RN Vacancy</a:t>
            </a:r>
            <a:r>
              <a:rPr lang="en-US" baseline="0"/>
              <a:t> Rate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'RN vacancy Rate graph'!$A$2</c:f>
              <c:strCache>
                <c:ptCount val="1"/>
                <c:pt idx="0">
                  <c:v>Budgeted Rn fte positions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'RN vacancy Rate graph'!$B$1:$G$1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'RN vacancy Rate graph'!$B$2:$G$2</c:f>
              <c:numCache>
                <c:formatCode>General</c:formatCode>
                <c:ptCount val="6"/>
                <c:pt idx="0">
                  <c:v>18453.300000000003</c:v>
                </c:pt>
                <c:pt idx="1">
                  <c:v>19552.05</c:v>
                </c:pt>
                <c:pt idx="2">
                  <c:v>22144.94</c:v>
                </c:pt>
                <c:pt idx="3">
                  <c:v>27138</c:v>
                </c:pt>
                <c:pt idx="4">
                  <c:v>25391</c:v>
                </c:pt>
                <c:pt idx="5">
                  <c:v>26320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E-4B0B-901B-CB03F7158399}"/>
            </c:ext>
          </c:extLst>
        </c:ser>
        <c:ser>
          <c:idx val="1"/>
          <c:order val="1"/>
          <c:tx>
            <c:strRef>
              <c:f>'RN vacancy Rate graph'!$A$3</c:f>
              <c:strCache>
                <c:ptCount val="1"/>
                <c:pt idx="0">
                  <c:v>Vacant RN fte positions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'RN vacancy Rate graph'!$B$1:$G$1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'RN vacancy Rate graph'!$B$3:$G$3</c:f>
              <c:numCache>
                <c:formatCode>General</c:formatCode>
                <c:ptCount val="6"/>
                <c:pt idx="0">
                  <c:v>1745.8150000000001</c:v>
                </c:pt>
                <c:pt idx="1">
                  <c:v>1507.2700000000002</c:v>
                </c:pt>
                <c:pt idx="2">
                  <c:v>1835.8999999999999</c:v>
                </c:pt>
                <c:pt idx="3">
                  <c:v>1857</c:v>
                </c:pt>
                <c:pt idx="4">
                  <c:v>2204</c:v>
                </c:pt>
                <c:pt idx="5">
                  <c:v>2002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1E-4B0B-901B-CB03F7158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494966768"/>
        <c:axId val="494965456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'RN vacancy Rate graph'!$A$4</c15:sqref>
                        </c15:formulaRef>
                      </c:ext>
                    </c:extLst>
                    <c:strCache>
                      <c:ptCount val="1"/>
                      <c:pt idx="0">
                        <c:v>Percentage Vacant RN fte positions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'RN vacancy Rate graph'!$B$1:$G$1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'RN vacancy Rate graph'!$B$4:$G$4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9.4607197628608419E-2</c:v>
                      </c:pt>
                      <c:pt idx="1">
                        <c:v>7.7090126099309292E-2</c:v>
                      </c:pt>
                      <c:pt idx="2">
                        <c:v>8.2903814596020586E-2</c:v>
                      </c:pt>
                      <c:pt idx="3">
                        <c:v>6.8428034490382483E-2</c:v>
                      </c:pt>
                      <c:pt idx="4">
                        <c:v>8.6802410302863217E-2</c:v>
                      </c:pt>
                      <c:pt idx="5">
                        <c:v>7.6063829787234041E-2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AB1E-4B0B-901B-CB03F715839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vacancy Rate graph'!$A$5</c15:sqref>
                        </c15:formulaRef>
                      </c:ext>
                    </c:extLst>
                    <c:strCache>
                      <c:ptCount val="1"/>
                      <c:pt idx="0">
                        <c:v>Number of Hospitals Reporting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vacancy Rate graph'!$B$1:$G$1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vacancy Rate graph'!$B$5:$G$5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36</c:v>
                      </c:pt>
                      <c:pt idx="1">
                        <c:v>37</c:v>
                      </c:pt>
                      <c:pt idx="2">
                        <c:v>43</c:v>
                      </c:pt>
                      <c:pt idx="3">
                        <c:v>43</c:v>
                      </c:pt>
                      <c:pt idx="4">
                        <c:v>45</c:v>
                      </c:pt>
                      <c:pt idx="5">
                        <c:v>45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B1E-4B0B-901B-CB03F7158399}"/>
                  </c:ext>
                </c:extLst>
              </c15:ser>
            </c15:filteredBarSeries>
          </c:ext>
        </c:extLst>
      </c:barChart>
      <c:catAx>
        <c:axId val="4949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4965456"/>
        <c:crosses val="autoZero"/>
        <c:auto val="1"/>
        <c:lblAlgn val="ctr"/>
        <c:lblOffset val="100"/>
        <c:noMultiLvlLbl val="0"/>
      </c:catAx>
      <c:valAx>
        <c:axId val="49496545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49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RN Voluntary and Involuntary turnover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'RN vol and invol turnover'!$A$2</c:f>
              <c:strCache>
                <c:ptCount val="1"/>
                <c:pt idx="0">
                  <c:v>RN in FTE that voluntarily retired, resigned, or expired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'RN vol and invol turnover'!$B$1:$G$1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'RN vol and invol turnover'!$B$2:$G$2</c:f>
              <c:numCache>
                <c:formatCode>General</c:formatCode>
                <c:ptCount val="6"/>
                <c:pt idx="0">
                  <c:v>1987.34</c:v>
                </c:pt>
                <c:pt idx="1">
                  <c:v>1956.37</c:v>
                </c:pt>
                <c:pt idx="2">
                  <c:v>2509.3049999999998</c:v>
                </c:pt>
                <c:pt idx="3">
                  <c:v>2709.37</c:v>
                </c:pt>
                <c:pt idx="4">
                  <c:v>2661</c:v>
                </c:pt>
                <c:pt idx="5">
                  <c:v>2818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6-4644-8DA7-265216C61635}"/>
            </c:ext>
          </c:extLst>
        </c:ser>
        <c:ser>
          <c:idx val="1"/>
          <c:order val="1"/>
          <c:tx>
            <c:strRef>
              <c:f>'RN vol and invol turnover'!$A$3</c:f>
              <c:strCache>
                <c:ptCount val="1"/>
                <c:pt idx="0">
                  <c:v>RN in FTE involuntarily terminated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'RN vol and invol turnover'!$B$1:$G$1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'RN vol and invol turnover'!$B$3:$G$3</c:f>
              <c:numCache>
                <c:formatCode>General</c:formatCode>
                <c:ptCount val="6"/>
                <c:pt idx="0">
                  <c:v>722.21500000000003</c:v>
                </c:pt>
                <c:pt idx="1">
                  <c:v>717.27</c:v>
                </c:pt>
                <c:pt idx="2">
                  <c:v>455.11</c:v>
                </c:pt>
                <c:pt idx="3">
                  <c:v>400.79</c:v>
                </c:pt>
                <c:pt idx="4">
                  <c:v>434</c:v>
                </c:pt>
                <c:pt idx="5">
                  <c:v>560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86-4644-8DA7-265216C61635}"/>
            </c:ext>
          </c:extLst>
        </c:ser>
        <c:ser>
          <c:idx val="2"/>
          <c:order val="2"/>
          <c:tx>
            <c:strRef>
              <c:f>'RN vol and invol turnover'!$A$4</c:f>
              <c:strCache>
                <c:ptCount val="1"/>
                <c:pt idx="0">
                  <c:v>Total turnover volutary and involuntary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'RN vol and invol turnover'!$B$1:$G$1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'RN vol and invol turnover'!$B$4:$G$4</c:f>
              <c:numCache>
                <c:formatCode>General</c:formatCode>
                <c:ptCount val="6"/>
                <c:pt idx="0">
                  <c:v>2709.5549999999998</c:v>
                </c:pt>
                <c:pt idx="1">
                  <c:v>2673.64</c:v>
                </c:pt>
                <c:pt idx="2">
                  <c:v>2964.415</c:v>
                </c:pt>
                <c:pt idx="3">
                  <c:v>3110.16</c:v>
                </c:pt>
                <c:pt idx="4">
                  <c:v>3095</c:v>
                </c:pt>
                <c:pt idx="5">
                  <c:v>3378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86-4644-8DA7-265216C616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656256"/>
        <c:axId val="55266642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'RN vol and invol turnover'!$A$5</c15:sqref>
                        </c15:formulaRef>
                      </c:ext>
                    </c:extLst>
                    <c:strCache>
                      <c:ptCount val="1"/>
                      <c:pt idx="0">
                        <c:v>Percentage difference of voluntary and involuntary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'RN vol and invol turnover'!$B$1:$G$1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'RN vol and invol turnover'!$B$5:$G$5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0.36340787182867557</c:v>
                      </c:pt>
                      <c:pt idx="1">
                        <c:v>0.36663310110050756</c:v>
                      </c:pt>
                      <c:pt idx="2">
                        <c:v>0.18136894478750093</c:v>
                      </c:pt>
                      <c:pt idx="3">
                        <c:v>0.14792737795133187</c:v>
                      </c:pt>
                      <c:pt idx="4">
                        <c:v>0.16309658023299511</c:v>
                      </c:pt>
                      <c:pt idx="5">
                        <c:v>0.19872249822569199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586-4644-8DA7-265216C6163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vol and invol turnover'!$A$6</c15:sqref>
                        </c15:formulaRef>
                      </c:ext>
                    </c:extLst>
                    <c:strCache>
                      <c:ptCount val="1"/>
                      <c:pt idx="0">
                        <c:v>Number of Hospitals Reporting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vol and invol turnover'!$B$1:$G$1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'RN vol and invol turnover'!$B$6:$G$6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36</c:v>
                      </c:pt>
                      <c:pt idx="1">
                        <c:v>37</c:v>
                      </c:pt>
                      <c:pt idx="2">
                        <c:v>47</c:v>
                      </c:pt>
                      <c:pt idx="3">
                        <c:v>47</c:v>
                      </c:pt>
                      <c:pt idx="4">
                        <c:v>45</c:v>
                      </c:pt>
                      <c:pt idx="5">
                        <c:v>45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586-4644-8DA7-265216C61635}"/>
                  </c:ext>
                </c:extLst>
              </c15:ser>
            </c15:filteredBarSeries>
          </c:ext>
        </c:extLst>
      </c:barChart>
      <c:catAx>
        <c:axId val="55265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66424"/>
        <c:crosses val="autoZero"/>
        <c:auto val="1"/>
        <c:lblAlgn val="ctr"/>
        <c:lblOffset val="100"/>
        <c:noMultiLvlLbl val="0"/>
      </c:catAx>
      <c:valAx>
        <c:axId val="552666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5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Agency RN used in FTE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Number of Agency RN used in FTE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Sheet2!$B$1:$G$1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Sheet2!$B$2:$G$2</c:f>
              <c:numCache>
                <c:formatCode>General</c:formatCode>
                <c:ptCount val="6"/>
                <c:pt idx="0">
                  <c:v>1049.96</c:v>
                </c:pt>
                <c:pt idx="1">
                  <c:v>1533.88</c:v>
                </c:pt>
                <c:pt idx="2">
                  <c:v>1003.08</c:v>
                </c:pt>
                <c:pt idx="3">
                  <c:v>2709.37</c:v>
                </c:pt>
                <c:pt idx="4">
                  <c:v>2661</c:v>
                </c:pt>
                <c:pt idx="5">
                  <c:v>2818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D-4A70-945F-DFA6B6B09DF6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Budgeted Rn fte positions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Sheet2!$B$1:$G$1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Sheet2!$B$3:$G$3</c:f>
              <c:numCache>
                <c:formatCode>General</c:formatCode>
                <c:ptCount val="6"/>
                <c:pt idx="0">
                  <c:v>18453.300000000003</c:v>
                </c:pt>
                <c:pt idx="1">
                  <c:v>19552.05</c:v>
                </c:pt>
                <c:pt idx="2">
                  <c:v>22144.94</c:v>
                </c:pt>
                <c:pt idx="3">
                  <c:v>27138</c:v>
                </c:pt>
                <c:pt idx="4">
                  <c:v>25391</c:v>
                </c:pt>
                <c:pt idx="5">
                  <c:v>26320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4D-4A70-945F-DFA6B6B09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656584"/>
        <c:axId val="55265920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Sheet2!$A$4</c15:sqref>
                        </c15:formulaRef>
                      </c:ext>
                    </c:extLst>
                    <c:strCache>
                      <c:ptCount val="1"/>
                      <c:pt idx="0">
                        <c:v>Vacant RN fte positions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Sheet2!$B$1:$G$1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Sheet2!$B$4:$G$4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1745.8150000000001</c:v>
                      </c:pt>
                      <c:pt idx="1">
                        <c:v>1507.2700000000002</c:v>
                      </c:pt>
                      <c:pt idx="2">
                        <c:v>1835.8999999999999</c:v>
                      </c:pt>
                      <c:pt idx="3">
                        <c:v>1857</c:v>
                      </c:pt>
                      <c:pt idx="4">
                        <c:v>2204</c:v>
                      </c:pt>
                      <c:pt idx="5">
                        <c:v>2002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BF4D-4A70-945F-DFA6B6B09DF6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Sheet2!$A$5</c15:sqref>
                        </c15:formulaRef>
                      </c:ext>
                    </c:extLst>
                    <c:strCache>
                      <c:ptCount val="1"/>
                      <c:pt idx="0">
                        <c:v>Percentage of Agency nurses used in FTE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Sheet2!$B$5:$G$5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5.6898224165867345E-2</c:v>
                      </c:pt>
                      <c:pt idx="1">
                        <c:v>7.8451108707271108E-2</c:v>
                      </c:pt>
                      <c:pt idx="2">
                        <c:v>4.5296126338567638E-2</c:v>
                      </c:pt>
                      <c:pt idx="3">
                        <c:v>9.9836760262362739E-2</c:v>
                      </c:pt>
                      <c:pt idx="4">
                        <c:v>0.10480091370958214</c:v>
                      </c:pt>
                      <c:pt idx="5">
                        <c:v>0.10706686930091186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F4D-4A70-945F-DFA6B6B09DF6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Sheet2!$A$6</c15:sqref>
                        </c15:formulaRef>
                      </c:ext>
                    </c:extLst>
                    <c:strCache>
                      <c:ptCount val="1"/>
                      <c:pt idx="0">
                        <c:v>Number of Hospitals Reporting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Sheet2!$B$1:$G$1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Sheet2!$B$6:$G$6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37</c:v>
                      </c:pt>
                      <c:pt idx="1">
                        <c:v>40</c:v>
                      </c:pt>
                      <c:pt idx="2">
                        <c:v>47</c:v>
                      </c:pt>
                      <c:pt idx="3">
                        <c:v>47</c:v>
                      </c:pt>
                      <c:pt idx="4">
                        <c:v>45</c:v>
                      </c:pt>
                      <c:pt idx="5">
                        <c:v>45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F4D-4A70-945F-DFA6B6B09DF6}"/>
                  </c:ext>
                </c:extLst>
              </c15:ser>
            </c15:filteredBarSeries>
          </c:ext>
        </c:extLst>
      </c:barChart>
      <c:catAx>
        <c:axId val="552656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59208"/>
        <c:crosses val="autoZero"/>
        <c:auto val="1"/>
        <c:lblAlgn val="ctr"/>
        <c:lblOffset val="100"/>
        <c:noMultiLvlLbl val="0"/>
      </c:catAx>
      <c:valAx>
        <c:axId val="552659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56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BSN Tuition Assistance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RN tuition assistance for BSN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44</c:v>
                </c:pt>
                <c:pt idx="1">
                  <c:v>63</c:v>
                </c:pt>
                <c:pt idx="2">
                  <c:v>47</c:v>
                </c:pt>
                <c:pt idx="3">
                  <c:v>379</c:v>
                </c:pt>
                <c:pt idx="4">
                  <c:v>417</c:v>
                </c:pt>
                <c:pt idx="5">
                  <c:v>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E-4268-B83B-05E95D7DA6D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Total Budgeted FTE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0">
                  <c:v>18453</c:v>
                </c:pt>
                <c:pt idx="1">
                  <c:v>19552</c:v>
                </c:pt>
                <c:pt idx="2">
                  <c:v>22145</c:v>
                </c:pt>
                <c:pt idx="3">
                  <c:v>27138</c:v>
                </c:pt>
                <c:pt idx="4">
                  <c:v>25391</c:v>
                </c:pt>
                <c:pt idx="5">
                  <c:v>26320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5E-4268-B83B-05E95D7DA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2486232"/>
        <c:axId val="642488200"/>
      </c:barChart>
      <c:lineChart>
        <c:grouping val="standard"/>
        <c:varyColors val="0"/>
        <c:ser>
          <c:idx val="2"/>
          <c:order val="2"/>
          <c:tx>
            <c:strRef>
              <c:f>Sheet1!$A$4</c:f>
              <c:strCache>
                <c:ptCount val="1"/>
                <c:pt idx="0">
                  <c:v>Percentage of RN recieveing tuition assistance for BSN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Sheet1!$B$4:$G$4</c:f>
              <c:numCache>
                <c:formatCode>0%</c:formatCode>
                <c:ptCount val="6"/>
                <c:pt idx="0">
                  <c:v>2.384436135045792E-3</c:v>
                </c:pt>
                <c:pt idx="1">
                  <c:v>3.2221767594108018E-3</c:v>
                </c:pt>
                <c:pt idx="2">
                  <c:v>2.1223752540076766E-3</c:v>
                </c:pt>
                <c:pt idx="3">
                  <c:v>1.3965657012307465E-2</c:v>
                </c:pt>
                <c:pt idx="4">
                  <c:v>1.6423142058209602E-2</c:v>
                </c:pt>
                <c:pt idx="5">
                  <c:v>2.3974164133738603E-2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5E-4268-B83B-05E95D7DA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2487872"/>
        <c:axId val="642486888"/>
      </c:lineChart>
      <c:catAx>
        <c:axId val="642486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488200"/>
        <c:crosses val="autoZero"/>
        <c:auto val="1"/>
        <c:lblAlgn val="ctr"/>
        <c:lblOffset val="100"/>
        <c:noMultiLvlLbl val="0"/>
      </c:catAx>
      <c:valAx>
        <c:axId val="64248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486232"/>
        <c:crosses val="autoZero"/>
        <c:crossBetween val="between"/>
      </c:valAx>
      <c:valAx>
        <c:axId val="6424868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487872"/>
        <c:crosses val="max"/>
        <c:crossBetween val="between"/>
      </c:valAx>
      <c:catAx>
        <c:axId val="642487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424868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33140-3692-4451-B8A7-4F6F39CA103E}"/>
</file>

<file path=customXml/itemProps2.xml><?xml version="1.0" encoding="utf-8"?>
<ds:datastoreItem xmlns:ds="http://schemas.openxmlformats.org/officeDocument/2006/customXml" ds:itemID="{3CE57801-D3C6-4F06-B43B-CAB2AB07B93D}"/>
</file>

<file path=customXml/itemProps3.xml><?xml version="1.0" encoding="utf-8"?>
<ds:datastoreItem xmlns:ds="http://schemas.openxmlformats.org/officeDocument/2006/customXml" ds:itemID="{6E3E2958-F918-4351-9BA6-EA1881DD8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Quintanilla</dc:creator>
  <cp:keywords/>
  <dc:description/>
  <cp:lastModifiedBy>Ford, Kimberly</cp:lastModifiedBy>
  <cp:revision>2</cp:revision>
  <dcterms:created xsi:type="dcterms:W3CDTF">2024-09-04T19:47:00Z</dcterms:created>
  <dcterms:modified xsi:type="dcterms:W3CDTF">2024-09-04T19:47:00Z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